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B17A" w14:textId="5CC908D3" w:rsidR="007A52FF" w:rsidRPr="007A52FF" w:rsidRDefault="007A52FF" w:rsidP="007A52FF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7A52FF">
        <w:rPr>
          <w:rFonts w:ascii="Montserrat" w:hAnsi="Montserrat"/>
          <w:b/>
          <w:bCs/>
          <w:sz w:val="28"/>
          <w:szCs w:val="28"/>
        </w:rPr>
        <w:t>FREQUENTLY ASKED QUESTIONS</w:t>
      </w:r>
    </w:p>
    <w:p w14:paraId="1FA3680B" w14:textId="77777777" w:rsidR="007A52FF" w:rsidRPr="007A52FF" w:rsidRDefault="007A52FF" w:rsidP="007A52FF">
      <w:pPr>
        <w:jc w:val="center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>RENDICONTAZIONE BANDI A CASCATA DELLO SPOKE 3 DI iNEST (1a call)</w:t>
      </w:r>
    </w:p>
    <w:p w14:paraId="7F2AF9CB" w14:textId="77777777" w:rsidR="006F19B4" w:rsidRDefault="006F19B4" w:rsidP="006F19B4">
      <w:pPr>
        <w:jc w:val="right"/>
        <w:rPr>
          <w:rFonts w:ascii="Montserrat" w:hAnsi="Montserrat"/>
        </w:rPr>
      </w:pPr>
    </w:p>
    <w:p w14:paraId="5ADB35DA" w14:textId="4F11F684" w:rsidR="007A52FF" w:rsidRPr="007A52FF" w:rsidRDefault="007A52FF" w:rsidP="006F19B4">
      <w:pPr>
        <w:jc w:val="right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Ultima modifica: </w:t>
      </w:r>
      <w:r w:rsidRPr="007A52FF">
        <w:rPr>
          <w:rFonts w:ascii="Montserrat" w:hAnsi="Montserrat"/>
          <w:i/>
          <w:iCs/>
          <w:color w:val="FF0000"/>
        </w:rPr>
        <w:t>26/07/2024</w:t>
      </w:r>
    </w:p>
    <w:p w14:paraId="74AFAC23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 xml:space="preserve">Le variazioni del personale devono essere comunicate per tempo o è sufficiente indicarle in corrispondenza dei SAL? </w:t>
      </w:r>
    </w:p>
    <w:p w14:paraId="126BA21E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Le variazioni di personale vanno comunicate tempestivamente allo Spoke via email (inest@uniud.it) con motivazione della sostituzione. </w:t>
      </w:r>
    </w:p>
    <w:p w14:paraId="463725DA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Il personale che subentra dovrà essere di pari livello a quello sostituito e possedere competenze coerenti con la proposta progettuale. Andrà inoltre prodotta una lettera di incarico da caricare sul portale per la rendicontazione. </w:t>
      </w:r>
    </w:p>
    <w:p w14:paraId="4CB3E493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 xml:space="preserve">Ci sono vincoli di sede riguardo il personale inserito nel progetto? </w:t>
      </w:r>
    </w:p>
    <w:p w14:paraId="2C54C713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Per essere rendicontabile, il personale impegnato nel progetto dovrà operare nella sede d’intervento indicata nella proposta. </w:t>
      </w:r>
    </w:p>
    <w:p w14:paraId="4B65FE6A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>Quale dicitura dobbiamo inserire negli ordini/contratti/fatture per la rendicontazione delle spese?</w:t>
      </w:r>
    </w:p>
    <w:p w14:paraId="22DE1289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“Progetto </w:t>
      </w:r>
      <w:r w:rsidRPr="007A52FF">
        <w:rPr>
          <w:rFonts w:ascii="Montserrat" w:hAnsi="Montserrat"/>
          <w:i/>
          <w:iCs/>
        </w:rPr>
        <w:t>xxx (inserire acronimo)</w:t>
      </w:r>
      <w:r w:rsidRPr="007A52FF">
        <w:rPr>
          <w:rFonts w:ascii="Montserrat" w:hAnsi="Montserrat"/>
        </w:rPr>
        <w:t xml:space="preserve">, finanziato nell’ambito del Programma di Ricerca e Innovazione dell’ecosistema dell’innovazione dal titolo “iNEST – Interconnected Nord-Est Innovation Ecosystem” a valere sulle risorse del Piano Nazionale per la Ripresa e Resilienza (PNRR), Missione 4 Istruzione e ricerca – Componente 2 Dalla ricerca all’impresa – Investimento 1.5 – Creazione e rafforzamento di “Ecosistemi dell’innovazione per la sostenibilità”, finanziato dall’Unione Europea, NextGenerationEU, CUP </w:t>
      </w:r>
      <w:r w:rsidRPr="007A52FF">
        <w:rPr>
          <w:rFonts w:ascii="Montserrat" w:hAnsi="Montserrat"/>
          <w:i/>
          <w:iCs/>
        </w:rPr>
        <w:t>xxx (inserire CUP)</w:t>
      </w:r>
      <w:r w:rsidRPr="007A52FF">
        <w:rPr>
          <w:rFonts w:ascii="Montserrat" w:hAnsi="Montserrat"/>
        </w:rPr>
        <w:t xml:space="preserve">, CIG </w:t>
      </w:r>
      <w:r w:rsidRPr="007A52FF">
        <w:rPr>
          <w:rFonts w:ascii="Montserrat" w:hAnsi="Montserrat"/>
          <w:i/>
          <w:iCs/>
        </w:rPr>
        <w:t>xxx (inserire CIG, laddove richiesto)</w:t>
      </w:r>
      <w:r w:rsidRPr="007A52FF">
        <w:rPr>
          <w:rFonts w:ascii="Montserrat" w:hAnsi="Montserrat"/>
        </w:rPr>
        <w:t>”</w:t>
      </w:r>
    </w:p>
    <w:p w14:paraId="3C79C612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Andranno altresì inseriti, dove possibile, i loghi previsti dal PNRR e messi a disposizione dallo Spoke di riferimento.  </w:t>
      </w:r>
    </w:p>
    <w:p w14:paraId="26B07223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 xml:space="preserve">L'auditing per la revisione della spesa dovrà essere fatto ad ogni SAL, prima dell'invio dello stesso, o solo in quello finale? </w:t>
      </w:r>
    </w:p>
    <w:p w14:paraId="5A177B22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L’auditing va trasmesso ad ogni SAL, come previsto dall’Art. 5.2 del Bando, nella sezione “Monitoraggio e rendicontazione” (pg. 32), citata di seguito: </w:t>
      </w:r>
    </w:p>
    <w:p w14:paraId="51DBC00F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“Il beneficiario dovrà trasmettere allo Spoke semestralmente e in coerenza con il Cronoprogramma approvato e ogni qualvolta venga richiesto dal MUR, Hub o Spoke: il Rendiconto di progetto, comprensivo dell’elenco di tutte le spese effettivamente sostenute e registrate tramite il sistema informatico adottato nel periodo di riferimento di cui lettera b) e c), accompagnato da Relazione tecnica di avanzamento lavori di progetto - trasmessa direttamente o, nel caso di raggruppamenti per tramite del Capofila - con descrizione degli avanzamenti complessivi relativi ai risultati di progetto nel periodo, con specifico riferimento ai milestone e target, intermedi e finali, raggiunti di cui lettera a). Il Rendiconto di progetto dovrà essere accompagnato da verifica e attestazione da parte di soggetti iscritti nel registro dei revisori legali incaricati dal beneficiario, che certifichi le spese sostenute, la congruenza delle stesse rispetto al progetto, i rendiconti e ne attesti la </w:t>
      </w:r>
      <w:r w:rsidRPr="007A52FF">
        <w:rPr>
          <w:rFonts w:ascii="Montserrat" w:hAnsi="Montserrat"/>
        </w:rPr>
        <w:lastRenderedPageBreak/>
        <w:t>coerenza rispetto alle regole del Bando, con relazione tecnica unitamente ad attestazione rilasciata in forma giurata e con esplicita dichiarazione di responsabilità.”</w:t>
      </w:r>
    </w:p>
    <w:p w14:paraId="7663F130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>Per completezza, si richiama altresì il par. c) dell’Art. 34 del bando, che precisa l’ammissibilità dei costi amministrativi “a copertura dei soli costi di auditor/revisori esterni condotto da personale indipendente e specializzato, iscritti nel registro dei revisori legali che certifichi le spese sostenute e i rendiconti, nel rispetto delle norme comunitarie e delle procedure di revisione in essere, mediante una relazione tecnica unitamente ad attestazione rilasciata in forma giurata e con esplicita dichiarazione di responsabilità. I costi della suddetta voce saranno rendicontati a costi reali e non potranno essere superiori al 10% del costo del personale.”</w:t>
      </w:r>
    </w:p>
    <w:p w14:paraId="7328B44C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 xml:space="preserve">Quando sarà operativa la piattaforma AtWork per rendicontare quanto svolto? </w:t>
      </w:r>
    </w:p>
    <w:p w14:paraId="7B99BD2B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Non appena sarà resa disponibile dal MUR lo Spoke ne darà comunicazione. </w:t>
      </w:r>
    </w:p>
    <w:p w14:paraId="53FB1AAC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 xml:space="preserve">Il caricamento dei dati, inclusi i “deliverables” di progetto previsti in forma di documento/report, va eseguito solo in fase di SAL o è prevista una frequenza maggiore? </w:t>
      </w:r>
    </w:p>
    <w:p w14:paraId="633B22A8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Il caricamento potrà essere continuativo, ma la verifica della documentazione di spesa nonché la valutazione dell’avanzamento dell’attività di ricerca avverrà in corrispondenza dei SAL. </w:t>
      </w:r>
    </w:p>
    <w:p w14:paraId="6EAD6FA1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Ferme restando le scadenze dei SAL, per le voci di spesa è consigliabile un caricamento mensile, mentre per quanto riguarda l’avanzamento della ricerca, ulteriori aggiornamenti potranno essere richiesti dallo Spoke. </w:t>
      </w:r>
    </w:p>
    <w:p w14:paraId="0EA06336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 xml:space="preserve">Gli audit esterni sui costi sostenuti sono eseguiti a livello di singolo beneficiario o a livello di progetto? </w:t>
      </w:r>
    </w:p>
    <w:p w14:paraId="3A0ABB80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A livello di singolo beneficiario. </w:t>
      </w:r>
    </w:p>
    <w:p w14:paraId="48C7EFC5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 xml:space="preserve">I revisori incaricati possono essere diversi per ogni beneficiario? </w:t>
      </w:r>
    </w:p>
    <w:p w14:paraId="39464357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È possibile prevedere incarichi diversi. </w:t>
      </w:r>
    </w:p>
    <w:p w14:paraId="57923439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 xml:space="preserve">Sarà fornita modulistica per la rendicontazione (es. lettere di incarico, timesheet, relazioni)? </w:t>
      </w:r>
    </w:p>
    <w:p w14:paraId="1EEA63D3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 xml:space="preserve">La documentazione sarà resa disponibile sul sito UNIUD al seguente link: </w:t>
      </w:r>
    </w:p>
    <w:p w14:paraId="21044575" w14:textId="7CF17545" w:rsidR="007A52FF" w:rsidRPr="007A52FF" w:rsidRDefault="006F19B4" w:rsidP="007A52FF">
      <w:pPr>
        <w:jc w:val="both"/>
        <w:rPr>
          <w:rFonts w:ascii="Montserrat" w:hAnsi="Montserrat"/>
        </w:rPr>
      </w:pPr>
      <w:hyperlink r:id="rId7" w:history="1">
        <w:r w:rsidR="007A52FF" w:rsidRPr="00384EF1">
          <w:rPr>
            <w:rStyle w:val="Collegamentoipertestuale"/>
            <w:rFonts w:ascii="Montserrat" w:hAnsi="Montserrat"/>
          </w:rPr>
          <w:t>https://www.uniud.it/it/ricerca/progetti-e-iniziative/pnrr-piano-nazionale-di-ripresa-e-resilienza/inest</w:t>
        </w:r>
      </w:hyperlink>
      <w:r w:rsidR="007A52FF">
        <w:rPr>
          <w:rFonts w:ascii="Montserrat" w:hAnsi="Montserrat"/>
        </w:rPr>
        <w:t xml:space="preserve"> </w:t>
      </w:r>
    </w:p>
    <w:p w14:paraId="3BE96EFF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>L’IVA è un costo ammissibile?</w:t>
      </w:r>
    </w:p>
    <w:p w14:paraId="05541025" w14:textId="7DCEA417" w:rsidR="007A52FF" w:rsidRPr="007A52FF" w:rsidRDefault="007A52FF" w:rsidP="007A52FF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L’IVA è</w:t>
      </w:r>
      <w:r w:rsidRPr="007A52FF">
        <w:rPr>
          <w:rFonts w:ascii="Montserrat" w:hAnsi="Montserrat"/>
        </w:rPr>
        <w:t xml:space="preserve"> ammissibile solo se non recuperabile</w:t>
      </w:r>
      <w:r>
        <w:rPr>
          <w:rFonts w:ascii="Montserrat" w:hAnsi="Montserrat"/>
        </w:rPr>
        <w:t>.</w:t>
      </w:r>
    </w:p>
    <w:p w14:paraId="04FC1750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>L’IRAP è un costo ammissibile?</w:t>
      </w:r>
    </w:p>
    <w:p w14:paraId="5617108F" w14:textId="7B7A025C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>No, L’IRAP non è un costo ammissibile</w:t>
      </w:r>
      <w:r>
        <w:rPr>
          <w:rFonts w:ascii="Montserrat" w:hAnsi="Montserrat"/>
        </w:rPr>
        <w:t>.</w:t>
      </w:r>
    </w:p>
    <w:p w14:paraId="4DE31624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 xml:space="preserve">Eventuali macchinari direttamente imputabili all'attività di progetto rientrano tra le attrezzature (e non sono quindi compresi tra le spese ammissibili?) </w:t>
      </w:r>
    </w:p>
    <w:p w14:paraId="1BD534E7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lastRenderedPageBreak/>
        <w:t>Attrezzature, macchinari, strumenti utilizzati per le attività di progetto NON rientrano nelle spese ammissibili. Non sono quindi riconosciuti costi relativi al loro acquisto, né le quote di ammortamento. Sono rendicontabili e ammissibili soltanto le spese per attrezzature, macchinari, strumenti utilizzati esclusivamente e unicamente per la realizzazione dei prototipi e che quindi non potranno essere utilizzati per altri scopi né essere soggetti ad ammortamento.</w:t>
      </w:r>
    </w:p>
    <w:p w14:paraId="5D5B42E1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 xml:space="preserve">La realizzazione di prototipi informatici rientra nelle consulenze esterne? </w:t>
      </w:r>
    </w:p>
    <w:p w14:paraId="11219E16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>La realizzazione di prototipi, informatici e/o fisici, rientra nei costi ammissibili. Andrà valutato caso per caso se siano da identificarsi come “servizi di consulenze specialistica” (punto 3.4 d del bando), o “materiali, forniture e prodotti analoghi” (punto 3.4 e del bando).</w:t>
      </w:r>
    </w:p>
    <w:p w14:paraId="51BA7E7E" w14:textId="77777777" w:rsidR="007A52FF" w:rsidRPr="007A52FF" w:rsidRDefault="007A52FF" w:rsidP="007A52FF">
      <w:pPr>
        <w:jc w:val="both"/>
        <w:rPr>
          <w:rFonts w:ascii="Montserrat" w:hAnsi="Montserrat"/>
          <w:b/>
          <w:bCs/>
        </w:rPr>
      </w:pPr>
      <w:r w:rsidRPr="007A52FF">
        <w:rPr>
          <w:rFonts w:ascii="Montserrat" w:hAnsi="Montserrat"/>
          <w:b/>
          <w:bCs/>
        </w:rPr>
        <w:t xml:space="preserve">Le spese finalizzate alla commercializzazione sono coperte dal bando? Ci sono attività di consulenza che non sono rendicontabili (ad esempio spese di marketing)? Le spese di promozione sono rendicontabili? </w:t>
      </w:r>
    </w:p>
    <w:p w14:paraId="7A939311" w14:textId="77777777" w:rsidR="007A52FF" w:rsidRPr="007A52FF" w:rsidRDefault="007A52FF" w:rsidP="007A52FF">
      <w:pPr>
        <w:jc w:val="both"/>
        <w:rPr>
          <w:rFonts w:ascii="Montserrat" w:hAnsi="Montserrat"/>
        </w:rPr>
      </w:pPr>
      <w:r w:rsidRPr="007A52FF">
        <w:rPr>
          <w:rFonts w:ascii="Montserrat" w:hAnsi="Montserrat"/>
        </w:rPr>
        <w:t>Le tipologie di attività previste dal Bando sono Ricerca Industriale (RI) e Sviluppo Sperimentale (SS); le spese ammissibili devono essere riferite a tali tipologie. Le spese per marketing, commercializzazione, promozione NON sono quindi ammissibili né rendicontabili.</w:t>
      </w:r>
    </w:p>
    <w:p w14:paraId="154D0A77" w14:textId="2B214311" w:rsidR="0084784B" w:rsidRPr="007A52FF" w:rsidRDefault="0084784B" w:rsidP="007A52FF">
      <w:pPr>
        <w:jc w:val="both"/>
      </w:pPr>
    </w:p>
    <w:sectPr w:rsidR="0084784B" w:rsidRPr="007A52FF" w:rsidSect="00F6311D">
      <w:headerReference w:type="default" r:id="rId8"/>
      <w:footerReference w:type="default" r:id="rId9"/>
      <w:pgSz w:w="11906" w:h="16838"/>
      <w:pgMar w:top="1417" w:right="1134" w:bottom="1134" w:left="850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3BD9" w14:textId="77777777" w:rsidR="00D8500B" w:rsidRDefault="00D8500B" w:rsidP="009A437F">
      <w:pPr>
        <w:spacing w:after="0" w:line="240" w:lineRule="auto"/>
      </w:pPr>
      <w:r>
        <w:separator/>
      </w:r>
    </w:p>
  </w:endnote>
  <w:endnote w:type="continuationSeparator" w:id="0">
    <w:p w14:paraId="4EBE6D4B" w14:textId="77777777" w:rsidR="00D8500B" w:rsidRDefault="00D8500B" w:rsidP="009A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E147" w14:textId="59ABEA79" w:rsidR="00190224" w:rsidRDefault="00190224" w:rsidP="00823CBB">
    <w:pPr>
      <w:pStyle w:val="Pidipagina"/>
      <w:ind w:left="-426" w:hanging="28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F001F" wp14:editId="15AD179B">
          <wp:simplePos x="0" y="0"/>
          <wp:positionH relativeFrom="column">
            <wp:posOffset>-273050</wp:posOffset>
          </wp:positionH>
          <wp:positionV relativeFrom="paragraph">
            <wp:posOffset>-535940</wp:posOffset>
          </wp:positionV>
          <wp:extent cx="5716270" cy="759460"/>
          <wp:effectExtent l="0" t="0" r="0" b="2540"/>
          <wp:wrapNone/>
          <wp:docPr id="10910787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7871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69"/>
                  <a:stretch/>
                </pic:blipFill>
                <pic:spPr bwMode="auto">
                  <a:xfrm>
                    <a:off x="0" y="0"/>
                    <a:ext cx="571627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99E0" w14:textId="77777777" w:rsidR="00D8500B" w:rsidRDefault="00D8500B" w:rsidP="009A437F">
      <w:pPr>
        <w:spacing w:after="0" w:line="240" w:lineRule="auto"/>
      </w:pPr>
      <w:r>
        <w:separator/>
      </w:r>
    </w:p>
  </w:footnote>
  <w:footnote w:type="continuationSeparator" w:id="0">
    <w:p w14:paraId="2F13F284" w14:textId="77777777" w:rsidR="00D8500B" w:rsidRDefault="00D8500B" w:rsidP="009A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127B" w14:textId="07ACC168" w:rsidR="009A437F" w:rsidRDefault="009A437F" w:rsidP="009A437F">
    <w:pPr>
      <w:pStyle w:val="Intestazione"/>
      <w:tabs>
        <w:tab w:val="clear" w:pos="9638"/>
        <w:tab w:val="right" w:pos="9356"/>
      </w:tabs>
      <w:ind w:left="-851" w:right="-852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EFDE2" wp14:editId="200B785C">
          <wp:simplePos x="0" y="0"/>
          <wp:positionH relativeFrom="margin">
            <wp:posOffset>-327660</wp:posOffset>
          </wp:positionH>
          <wp:positionV relativeFrom="paragraph">
            <wp:posOffset>-166370</wp:posOffset>
          </wp:positionV>
          <wp:extent cx="7214235" cy="672465"/>
          <wp:effectExtent l="0" t="0" r="0" b="635"/>
          <wp:wrapTight wrapText="bothSides">
            <wp:wrapPolygon edited="0">
              <wp:start x="0" y="0"/>
              <wp:lineTo x="0" y="21212"/>
              <wp:lineTo x="21560" y="21212"/>
              <wp:lineTo x="21560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12" b="5212"/>
                  <a:stretch>
                    <a:fillRect/>
                  </a:stretch>
                </pic:blipFill>
                <pic:spPr bwMode="auto">
                  <a:xfrm>
                    <a:off x="0" y="0"/>
                    <a:ext cx="721423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7F"/>
    <w:rsid w:val="000763B2"/>
    <w:rsid w:val="000A0C78"/>
    <w:rsid w:val="000F66F2"/>
    <w:rsid w:val="00190224"/>
    <w:rsid w:val="001B3330"/>
    <w:rsid w:val="00214136"/>
    <w:rsid w:val="002460B7"/>
    <w:rsid w:val="00284440"/>
    <w:rsid w:val="0029080A"/>
    <w:rsid w:val="002943D5"/>
    <w:rsid w:val="002A139D"/>
    <w:rsid w:val="002A4419"/>
    <w:rsid w:val="002E1CC5"/>
    <w:rsid w:val="00380AC9"/>
    <w:rsid w:val="00381646"/>
    <w:rsid w:val="003B5C27"/>
    <w:rsid w:val="00512012"/>
    <w:rsid w:val="005450A0"/>
    <w:rsid w:val="005656C6"/>
    <w:rsid w:val="005E0066"/>
    <w:rsid w:val="006112E9"/>
    <w:rsid w:val="00637028"/>
    <w:rsid w:val="00652463"/>
    <w:rsid w:val="00672376"/>
    <w:rsid w:val="006F19B4"/>
    <w:rsid w:val="00712B77"/>
    <w:rsid w:val="00762567"/>
    <w:rsid w:val="00763E19"/>
    <w:rsid w:val="007A52FF"/>
    <w:rsid w:val="007F765D"/>
    <w:rsid w:val="00823CBB"/>
    <w:rsid w:val="0084784B"/>
    <w:rsid w:val="00873962"/>
    <w:rsid w:val="008A378D"/>
    <w:rsid w:val="008D3A1C"/>
    <w:rsid w:val="008F706B"/>
    <w:rsid w:val="009A437F"/>
    <w:rsid w:val="009A7DFA"/>
    <w:rsid w:val="009F114C"/>
    <w:rsid w:val="009F3643"/>
    <w:rsid w:val="00AD65EE"/>
    <w:rsid w:val="00B36702"/>
    <w:rsid w:val="00B56D70"/>
    <w:rsid w:val="00BC0252"/>
    <w:rsid w:val="00CB1219"/>
    <w:rsid w:val="00CE5E96"/>
    <w:rsid w:val="00D43A20"/>
    <w:rsid w:val="00D8500B"/>
    <w:rsid w:val="00DA04FF"/>
    <w:rsid w:val="00DA55EF"/>
    <w:rsid w:val="00DE4A87"/>
    <w:rsid w:val="00DF2ABB"/>
    <w:rsid w:val="00E5043F"/>
    <w:rsid w:val="00EC6C79"/>
    <w:rsid w:val="00EE485A"/>
    <w:rsid w:val="00F6311D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EE1E0"/>
  <w15:chartTrackingRefBased/>
  <w15:docId w15:val="{FCF4DB29-E2A6-4B7D-90FD-62540E7D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4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37F"/>
  </w:style>
  <w:style w:type="paragraph" w:styleId="Pidipagina">
    <w:name w:val="footer"/>
    <w:basedOn w:val="Normale"/>
    <w:link w:val="PidipaginaCarattere"/>
    <w:uiPriority w:val="99"/>
    <w:unhideWhenUsed/>
    <w:rsid w:val="009A4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37F"/>
  </w:style>
  <w:style w:type="paragraph" w:styleId="Nessunaspaziatura">
    <w:name w:val="No Spacing"/>
    <w:uiPriority w:val="1"/>
    <w:qFormat/>
    <w:rsid w:val="00190224"/>
    <w:pPr>
      <w:spacing w:after="0" w:line="240" w:lineRule="auto"/>
    </w:pPr>
    <w:rPr>
      <w:rFonts w:eastAsiaTheme="minorEastAsia"/>
      <w:lang w:val="en-US" w:eastAsia="zh-CN"/>
    </w:rPr>
  </w:style>
  <w:style w:type="character" w:styleId="Collegamentoipertestuale">
    <w:name w:val="Hyperlink"/>
    <w:basedOn w:val="Carpredefinitoparagrafo"/>
    <w:uiPriority w:val="99"/>
    <w:unhideWhenUsed/>
    <w:rsid w:val="006112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5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ud.it/it/ricerca/progetti-e-iniziative/pnrr-piano-nazionale-di-ripresa-e-resilienza/ine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219F-B68B-49F7-B074-3D0681F1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Siano, Paola</dc:creator>
  <cp:keywords/>
  <dc:description/>
  <cp:lastModifiedBy>Filippo Romanello</cp:lastModifiedBy>
  <cp:revision>3</cp:revision>
  <cp:lastPrinted>2024-06-14T08:53:00Z</cp:lastPrinted>
  <dcterms:created xsi:type="dcterms:W3CDTF">2024-07-26T10:12:00Z</dcterms:created>
  <dcterms:modified xsi:type="dcterms:W3CDTF">2024-07-26T10:13:00Z</dcterms:modified>
</cp:coreProperties>
</file>